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F5" w:rsidRDefault="00471BE1" w:rsidP="00AA02CF">
      <w:r>
        <w:rPr>
          <w:noProof/>
        </w:rPr>
        <w:drawing>
          <wp:inline distT="0" distB="0" distL="0" distR="0">
            <wp:extent cx="132397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2CF" w:rsidRPr="00AA02CF">
        <w:rPr>
          <w:b/>
          <w:sz w:val="28"/>
          <w:szCs w:val="28"/>
        </w:rPr>
        <w:t>WNY Regional Council Initiative Criteria – Scoring System</w:t>
      </w:r>
    </w:p>
    <w:p w:rsidR="004D0A24" w:rsidRDefault="00AA02CF" w:rsidP="00DF459B">
      <w:pPr>
        <w:jc w:val="center"/>
      </w:pPr>
      <w:r>
        <w:t xml:space="preserve">Draft from </w:t>
      </w:r>
      <w:r w:rsidR="00DF459B">
        <w:t>Criteria</w:t>
      </w:r>
      <w:r w:rsidR="008446FB">
        <w:t xml:space="preserve"> Committee</w:t>
      </w:r>
      <w:r w:rsidR="009F7123">
        <w:t xml:space="preserve"> – </w:t>
      </w:r>
      <w:r w:rsidR="005D09F5">
        <w:t xml:space="preserve">September </w:t>
      </w:r>
      <w:r w:rsidR="00680084">
        <w:t>30</w:t>
      </w:r>
      <w:r w:rsidR="009F7123">
        <w:t>, 2011</w:t>
      </w:r>
    </w:p>
    <w:p w:rsidR="00FF7351" w:rsidRDefault="00D87E8D" w:rsidP="00FF7351">
      <w:pPr>
        <w:rPr>
          <w:rFonts w:cs="MinionPro-Regular"/>
        </w:rPr>
      </w:pPr>
      <w:r>
        <w:t>T</w:t>
      </w:r>
      <w:r w:rsidR="007668B1">
        <w:t xml:space="preserve">he </w:t>
      </w:r>
      <w:r w:rsidR="008446FB">
        <w:t>Committee</w:t>
      </w:r>
      <w:r w:rsidR="007668B1">
        <w:t xml:space="preserve"> </w:t>
      </w:r>
      <w:r w:rsidR="00680084">
        <w:t xml:space="preserve">is proposing a scoring </w:t>
      </w:r>
      <w:r w:rsidR="005D09F5">
        <w:t xml:space="preserve">system </w:t>
      </w:r>
      <w:r w:rsidR="00680084">
        <w:t>which the</w:t>
      </w:r>
      <w:r>
        <w:t xml:space="preserve"> Council will use to </w:t>
      </w:r>
      <w:r w:rsidR="005D09F5">
        <w:t xml:space="preserve">prioritize </w:t>
      </w:r>
      <w:r>
        <w:t xml:space="preserve">Council </w:t>
      </w:r>
      <w:r w:rsidR="00AA02CF">
        <w:t xml:space="preserve">strategies, </w:t>
      </w:r>
      <w:r w:rsidR="00DF459B">
        <w:t>projects</w:t>
      </w:r>
      <w:r w:rsidR="00B63490">
        <w:t>,</w:t>
      </w:r>
      <w:r w:rsidR="00DF459B">
        <w:t xml:space="preserve"> </w:t>
      </w:r>
      <w:r>
        <w:t>actions</w:t>
      </w:r>
      <w:r w:rsidR="00B63490">
        <w:t xml:space="preserve"> and policies</w:t>
      </w:r>
      <w:r>
        <w:t xml:space="preserve"> </w:t>
      </w:r>
      <w:r w:rsidR="00DF459B">
        <w:t>for funding</w:t>
      </w:r>
      <w:r>
        <w:t xml:space="preserve"> and inclusion in the Strategic Plan Implementation agenda</w:t>
      </w:r>
      <w:r w:rsidR="005D09F5">
        <w:t>.</w:t>
      </w:r>
      <w:r>
        <w:t xml:space="preserve">  (These would include the projects and actions recommended to the Council from the working groups.)</w:t>
      </w:r>
      <w:r w:rsidR="005D09F5">
        <w:t xml:space="preserve">  The Council adopted </w:t>
      </w:r>
      <w:r w:rsidR="00680084">
        <w:t xml:space="preserve">at the September 6, 2011 Council meeting </w:t>
      </w:r>
      <w:r w:rsidR="005D09F5">
        <w:t xml:space="preserve">eight </w:t>
      </w:r>
      <w:r w:rsidR="00532138" w:rsidRPr="00DF459B">
        <w:rPr>
          <w:b/>
          <w:bCs/>
          <w:color w:val="000000"/>
        </w:rPr>
        <w:t xml:space="preserve">Priority Project Selection Criteria </w:t>
      </w:r>
      <w:r w:rsidR="005D09F5" w:rsidRPr="005D09F5">
        <w:rPr>
          <w:bCs/>
          <w:color w:val="000000"/>
        </w:rPr>
        <w:t>that will be used</w:t>
      </w:r>
      <w:r w:rsidR="00532138" w:rsidRPr="00DF459B">
        <w:rPr>
          <w:color w:val="000000"/>
        </w:rPr>
        <w:t xml:space="preserve"> to </w:t>
      </w:r>
      <w:r w:rsidR="005D09F5">
        <w:rPr>
          <w:color w:val="000000"/>
        </w:rPr>
        <w:t xml:space="preserve">evaluate </w:t>
      </w:r>
      <w:r w:rsidR="00532138" w:rsidRPr="00DF459B">
        <w:rPr>
          <w:color w:val="000000"/>
        </w:rPr>
        <w:t xml:space="preserve">projects and other actions central to the </w:t>
      </w:r>
      <w:r w:rsidR="00FF7351">
        <w:rPr>
          <w:color w:val="000000"/>
        </w:rPr>
        <w:t>strategic plan</w:t>
      </w:r>
      <w:r w:rsidR="000F2D8D">
        <w:rPr>
          <w:color w:val="000000"/>
        </w:rPr>
        <w:t xml:space="preserve">.  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>Creates Jobs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>Maximizes Financial Return</w:t>
      </w:r>
    </w:p>
    <w:p w:rsidR="00AA02CF" w:rsidRDefault="00AA02CF" w:rsidP="00AA02CF">
      <w:pPr>
        <w:pStyle w:val="ListParagraph"/>
        <w:numPr>
          <w:ilvl w:val="0"/>
          <w:numId w:val="17"/>
        </w:numPr>
      </w:pPr>
      <w:r w:rsidRPr="00FF7351">
        <w:t>Inclusive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 xml:space="preserve">Oriented to Young Adults  </w:t>
      </w:r>
    </w:p>
    <w:p w:rsidR="00AA02CF" w:rsidRDefault="00AA02CF" w:rsidP="00AA02CF">
      <w:pPr>
        <w:pStyle w:val="ListParagraph"/>
        <w:numPr>
          <w:ilvl w:val="0"/>
          <w:numId w:val="17"/>
        </w:numPr>
        <w:rPr>
          <w:color w:val="000000"/>
        </w:rPr>
      </w:pPr>
      <w:r>
        <w:t>Promotes Smart Growth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>Builds upon Strengths</w:t>
      </w:r>
      <w:r w:rsidR="00AA02CF">
        <w:t xml:space="preserve"> (leveraging Natural Resources, fresh water, renewable energy, agriculture, architecture)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>Regional</w:t>
      </w:r>
      <w:r w:rsidR="00AA02CF">
        <w:t xml:space="preserve"> (impact beyond municipal borders)</w:t>
      </w:r>
    </w:p>
    <w:p w:rsidR="00127AEE" w:rsidRPr="00127AEE" w:rsidRDefault="00127AEE" w:rsidP="00127AEE">
      <w:pPr>
        <w:pStyle w:val="ListParagraph"/>
        <w:numPr>
          <w:ilvl w:val="0"/>
          <w:numId w:val="17"/>
        </w:numPr>
        <w:rPr>
          <w:color w:val="000000"/>
        </w:rPr>
      </w:pPr>
      <w:r w:rsidRPr="00FF7351">
        <w:t>Improves Region’s Image</w:t>
      </w:r>
    </w:p>
    <w:p w:rsidR="00FF7351" w:rsidRDefault="00AA02CF" w:rsidP="00FF7351">
      <w:pPr>
        <w:rPr>
          <w:rFonts w:cs="MinionPro-Regular"/>
        </w:rPr>
      </w:pPr>
      <w:r>
        <w:rPr>
          <w:rFonts w:cs="MinionPro-Regular"/>
        </w:rPr>
        <w:t>The Criteria Committee recommends the following scoring system:</w:t>
      </w:r>
    </w:p>
    <w:p w:rsidR="002A1598" w:rsidRPr="002A1598" w:rsidRDefault="002A1598" w:rsidP="00FF7351">
      <w:pPr>
        <w:rPr>
          <w:color w:val="000000"/>
          <w:u w:val="single"/>
        </w:rPr>
      </w:pPr>
      <w:r>
        <w:rPr>
          <w:rFonts w:cs="MinionPro-Regular"/>
          <w:u w:val="single"/>
        </w:rPr>
        <w:t>Core Criteria plus Additional Criteria Met</w:t>
      </w:r>
    </w:p>
    <w:p w:rsidR="00680084" w:rsidRDefault="00AA02CF" w:rsidP="00EF1CD3">
      <w:pPr>
        <w:rPr>
          <w:color w:val="000000"/>
        </w:rPr>
      </w:pPr>
      <w:r w:rsidRPr="00680084">
        <w:rPr>
          <w:b/>
          <w:color w:val="000000"/>
        </w:rPr>
        <w:t xml:space="preserve">Jobs and Investment </w:t>
      </w:r>
      <w:r w:rsidR="002A1598" w:rsidRPr="00680084">
        <w:rPr>
          <w:b/>
          <w:color w:val="000000"/>
        </w:rPr>
        <w:t xml:space="preserve">criteria are considered “deal breakers” </w:t>
      </w:r>
      <w:r w:rsidR="00680084">
        <w:rPr>
          <w:color w:val="000000"/>
        </w:rPr>
        <w:t>whose impact must be met</w:t>
      </w:r>
      <w:r w:rsidR="002A1598">
        <w:rPr>
          <w:color w:val="000000"/>
        </w:rPr>
        <w:t xml:space="preserve"> in order to qualify for funding.  </w:t>
      </w:r>
    </w:p>
    <w:p w:rsidR="00A62F6B" w:rsidRDefault="00A62F6B" w:rsidP="00A62F6B">
      <w:pPr>
        <w:rPr>
          <w:color w:val="000000"/>
          <w:u w:val="single"/>
        </w:rPr>
      </w:pPr>
      <w:r>
        <w:rPr>
          <w:color w:val="000000"/>
        </w:rPr>
        <w:t xml:space="preserve">If the Jobs and Investment criteria are </w:t>
      </w:r>
      <w:r w:rsidRPr="00E8469C">
        <w:rPr>
          <w:color w:val="000000"/>
          <w:u w:val="single"/>
        </w:rPr>
        <w:t>not</w:t>
      </w:r>
      <w:r>
        <w:rPr>
          <w:color w:val="000000"/>
        </w:rPr>
        <w:t xml:space="preserve"> met, the initiative will </w:t>
      </w:r>
      <w:r w:rsidRPr="00E8469C">
        <w:rPr>
          <w:color w:val="000000"/>
          <w:u w:val="single"/>
        </w:rPr>
        <w:t>not</w:t>
      </w:r>
      <w:r>
        <w:rPr>
          <w:color w:val="000000"/>
        </w:rPr>
        <w:t xml:space="preserve"> be considered further.</w:t>
      </w:r>
    </w:p>
    <w:p w:rsidR="00004A2F" w:rsidRDefault="002A1598" w:rsidP="00EF1CD3">
      <w:pPr>
        <w:rPr>
          <w:color w:val="000000"/>
        </w:rPr>
      </w:pPr>
      <w:r>
        <w:rPr>
          <w:color w:val="000000"/>
        </w:rPr>
        <w:t xml:space="preserve">If the core criteria </w:t>
      </w:r>
      <w:r w:rsidR="00004A2F">
        <w:rPr>
          <w:color w:val="000000"/>
        </w:rPr>
        <w:t xml:space="preserve">are met, then projects are ranked according to </w:t>
      </w:r>
      <w:r w:rsidR="00680084">
        <w:rPr>
          <w:color w:val="000000"/>
        </w:rPr>
        <w:t>all criteria using the following impact</w:t>
      </w:r>
      <w:r w:rsidR="00AA02CF">
        <w:rPr>
          <w:color w:val="000000"/>
        </w:rPr>
        <w:t xml:space="preserve"> system. </w:t>
      </w:r>
      <w:r w:rsidR="00680084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0"/>
        <w:gridCol w:w="2340"/>
      </w:tblGrid>
      <w:tr w:rsidR="003450A5" w:rsidRPr="00C7199E" w:rsidTr="00216118">
        <w:tc>
          <w:tcPr>
            <w:tcW w:w="6750" w:type="dxa"/>
            <w:shd w:val="clear" w:color="auto" w:fill="BFBFBF"/>
            <w:vAlign w:val="center"/>
          </w:tcPr>
          <w:p w:rsidR="003450A5" w:rsidRPr="00C7199E" w:rsidRDefault="003450A5" w:rsidP="00AA0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Priority Initiative Selection </w:t>
            </w:r>
            <w:r w:rsidRPr="00C7199E">
              <w:rPr>
                <w:b/>
              </w:rPr>
              <w:t>Criteria</w:t>
            </w:r>
            <w:r>
              <w:rPr>
                <w:b/>
              </w:rPr>
              <w:t xml:space="preserve"> Scoring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3450A5" w:rsidRPr="00C7199E" w:rsidRDefault="003450A5" w:rsidP="00D16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Measure/Impact</w:t>
            </w:r>
          </w:p>
        </w:tc>
      </w:tr>
      <w:tr w:rsidR="003450A5" w:rsidRPr="00C7199E" w:rsidTr="00216118">
        <w:tc>
          <w:tcPr>
            <w:tcW w:w="6750" w:type="dxa"/>
            <w:shd w:val="clear" w:color="auto" w:fill="D9D9D9"/>
          </w:tcPr>
          <w:p w:rsidR="003450A5" w:rsidRPr="0094421A" w:rsidRDefault="003450A5" w:rsidP="00004A2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Creates</w:t>
            </w:r>
            <w:r>
              <w:t>/Retains</w:t>
            </w:r>
            <w:r w:rsidRPr="0094421A">
              <w:t xml:space="preserve"> Jobs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3450A5" w:rsidRPr="0094421A" w:rsidRDefault="003450A5" w:rsidP="00D16DC9">
            <w:pPr>
              <w:spacing w:after="0" w:line="240" w:lineRule="auto"/>
              <w:jc w:val="center"/>
            </w:pPr>
          </w:p>
        </w:tc>
      </w:tr>
      <w:tr w:rsidR="003450A5" w:rsidRPr="00C7199E" w:rsidTr="00216118">
        <w:tc>
          <w:tcPr>
            <w:tcW w:w="6750" w:type="dxa"/>
          </w:tcPr>
          <w:p w:rsidR="003450A5" w:rsidRPr="0094421A" w:rsidRDefault="003450A5" w:rsidP="00680084">
            <w:pPr>
              <w:spacing w:after="0" w:line="240" w:lineRule="auto"/>
              <w:ind w:left="720"/>
            </w:pPr>
            <w:r>
              <w:t># of new jobs directly created over 5 years</w:t>
            </w:r>
          </w:p>
        </w:tc>
        <w:tc>
          <w:tcPr>
            <w:tcW w:w="2340" w:type="dxa"/>
            <w:vAlign w:val="center"/>
          </w:tcPr>
          <w:p w:rsidR="003450A5" w:rsidRPr="00C7199E" w:rsidRDefault="00E8132B" w:rsidP="00D16DC9">
            <w:pPr>
              <w:spacing w:after="0" w:line="240" w:lineRule="auto"/>
              <w:jc w:val="center"/>
            </w:pPr>
            <w:r>
              <w:t># jobs</w:t>
            </w:r>
          </w:p>
        </w:tc>
      </w:tr>
      <w:tr w:rsidR="003450A5" w:rsidRPr="00C7199E" w:rsidTr="00216118">
        <w:tc>
          <w:tcPr>
            <w:tcW w:w="6750" w:type="dxa"/>
          </w:tcPr>
          <w:p w:rsidR="003450A5" w:rsidRPr="0094421A" w:rsidRDefault="003450A5" w:rsidP="00680084">
            <w:pPr>
              <w:spacing w:after="0" w:line="240" w:lineRule="auto"/>
              <w:ind w:left="720"/>
            </w:pPr>
            <w:r>
              <w:t xml:space="preserve"># of jobs </w:t>
            </w:r>
            <w:r w:rsidR="00680084">
              <w:t>d</w:t>
            </w:r>
            <w:r>
              <w:t>irect</w:t>
            </w:r>
            <w:r w:rsidR="00680084">
              <w:t>ly</w:t>
            </w:r>
            <w:r>
              <w:t xml:space="preserve"> retained (with explanation of risk) over 5 years</w:t>
            </w:r>
          </w:p>
        </w:tc>
        <w:tc>
          <w:tcPr>
            <w:tcW w:w="2340" w:type="dxa"/>
            <w:vAlign w:val="center"/>
          </w:tcPr>
          <w:p w:rsidR="003450A5" w:rsidRPr="00C7199E" w:rsidRDefault="00E8132B" w:rsidP="00D16DC9">
            <w:pPr>
              <w:spacing w:after="0" w:line="240" w:lineRule="auto"/>
              <w:jc w:val="center"/>
            </w:pPr>
            <w:r>
              <w:t># jobs</w:t>
            </w:r>
          </w:p>
        </w:tc>
      </w:tr>
      <w:tr w:rsidR="003450A5" w:rsidRPr="00C7199E" w:rsidTr="00216118">
        <w:trPr>
          <w:trHeight w:val="332"/>
        </w:trPr>
        <w:tc>
          <w:tcPr>
            <w:tcW w:w="6750" w:type="dxa"/>
            <w:tcBorders>
              <w:bottom w:val="single" w:sz="4" w:space="0" w:color="auto"/>
            </w:tcBorders>
          </w:tcPr>
          <w:p w:rsidR="003450A5" w:rsidRPr="0094421A" w:rsidRDefault="003450A5" w:rsidP="00D16DC9">
            <w:pPr>
              <w:spacing w:after="0" w:line="240" w:lineRule="auto"/>
              <w:ind w:left="720"/>
            </w:pPr>
            <w:r>
              <w:t xml:space="preserve">Average </w:t>
            </w:r>
            <w:r w:rsidR="00E8132B">
              <w:t xml:space="preserve">annual </w:t>
            </w:r>
            <w:r>
              <w:t>wage of jobs created/retained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50A5" w:rsidRPr="00C7199E" w:rsidRDefault="00E8132B" w:rsidP="00D16DC9">
            <w:pPr>
              <w:spacing w:after="0" w:line="240" w:lineRule="auto"/>
              <w:jc w:val="center"/>
            </w:pPr>
            <w:r>
              <w:t>$ wage</w:t>
            </w:r>
          </w:p>
        </w:tc>
      </w:tr>
      <w:tr w:rsidR="003450A5" w:rsidRPr="00C7199E" w:rsidTr="00216118">
        <w:tc>
          <w:tcPr>
            <w:tcW w:w="6750" w:type="dxa"/>
            <w:shd w:val="clear" w:color="auto" w:fill="FFFFFF" w:themeFill="background1"/>
          </w:tcPr>
          <w:p w:rsidR="003450A5" w:rsidRPr="0094421A" w:rsidRDefault="003450A5" w:rsidP="00680084">
            <w:pPr>
              <w:pStyle w:val="ListParagraph"/>
              <w:spacing w:after="0" w:line="240" w:lineRule="auto"/>
              <w:ind w:left="360"/>
            </w:pPr>
            <w:r>
              <w:t xml:space="preserve">       </w:t>
            </w:r>
            <w:r w:rsidR="00680084">
              <w:t xml:space="preserve">IMPLAN Multiplier </w:t>
            </w:r>
            <w:r w:rsidR="00E8469C">
              <w:t>Impact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450A5" w:rsidRDefault="00680084" w:rsidP="00D16DC9">
            <w:pPr>
              <w:spacing w:after="0" w:line="240" w:lineRule="auto"/>
              <w:jc w:val="center"/>
            </w:pPr>
            <w:r>
              <w:t># jobs</w:t>
            </w:r>
          </w:p>
        </w:tc>
      </w:tr>
    </w:tbl>
    <w:p w:rsidR="00216118" w:rsidRDefault="00216118"/>
    <w:p w:rsidR="00216118" w:rsidRDefault="00216118">
      <w:pPr>
        <w:spacing w:after="0"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0"/>
        <w:gridCol w:w="2340"/>
      </w:tblGrid>
      <w:tr w:rsidR="003450A5" w:rsidRPr="00C7199E" w:rsidTr="00216118">
        <w:tc>
          <w:tcPr>
            <w:tcW w:w="6750" w:type="dxa"/>
            <w:shd w:val="clear" w:color="auto" w:fill="D9D9D9"/>
          </w:tcPr>
          <w:p w:rsidR="003450A5" w:rsidRPr="0094421A" w:rsidRDefault="003450A5" w:rsidP="0087390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 xml:space="preserve">Maximizes </w:t>
            </w:r>
            <w:r w:rsidR="0087390D">
              <w:t>Return on Investment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3450A5" w:rsidRPr="0094421A" w:rsidRDefault="003450A5" w:rsidP="00D16DC9">
            <w:pPr>
              <w:spacing w:after="0" w:line="240" w:lineRule="auto"/>
              <w:jc w:val="center"/>
            </w:pPr>
          </w:p>
        </w:tc>
      </w:tr>
      <w:tr w:rsidR="003450A5" w:rsidRPr="00C7199E" w:rsidTr="00216118">
        <w:tc>
          <w:tcPr>
            <w:tcW w:w="6750" w:type="dxa"/>
          </w:tcPr>
          <w:p w:rsidR="003450A5" w:rsidRPr="0094421A" w:rsidRDefault="0087390D" w:rsidP="00E8132B">
            <w:pPr>
              <w:spacing w:after="0" w:line="240" w:lineRule="auto"/>
              <w:ind w:left="720"/>
            </w:pPr>
            <w:r>
              <w:t>New Investment in construction</w:t>
            </w:r>
            <w:r w:rsidR="00E8132B">
              <w:t xml:space="preserve"> (excluding state $)</w:t>
            </w:r>
          </w:p>
        </w:tc>
        <w:tc>
          <w:tcPr>
            <w:tcW w:w="2340" w:type="dxa"/>
            <w:vAlign w:val="center"/>
          </w:tcPr>
          <w:p w:rsidR="003450A5" w:rsidRPr="00C7199E" w:rsidRDefault="0087390D" w:rsidP="00D16DC9">
            <w:pPr>
              <w:spacing w:after="0" w:line="240" w:lineRule="auto"/>
              <w:jc w:val="center"/>
            </w:pPr>
            <w:r>
              <w:t>$</w:t>
            </w:r>
          </w:p>
        </w:tc>
      </w:tr>
      <w:tr w:rsidR="003450A5" w:rsidRPr="00C7199E" w:rsidTr="00216118">
        <w:tc>
          <w:tcPr>
            <w:tcW w:w="6750" w:type="dxa"/>
          </w:tcPr>
          <w:p w:rsidR="003450A5" w:rsidRPr="0094421A" w:rsidRDefault="0087390D" w:rsidP="00D16DC9">
            <w:pPr>
              <w:spacing w:after="0" w:line="240" w:lineRule="auto"/>
              <w:ind w:left="720"/>
            </w:pPr>
            <w:r>
              <w:lastRenderedPageBreak/>
              <w:t>New investment in Research &amp; Development</w:t>
            </w:r>
            <w:r w:rsidR="00E8132B">
              <w:t xml:space="preserve"> (excluding state$)</w:t>
            </w:r>
          </w:p>
        </w:tc>
        <w:tc>
          <w:tcPr>
            <w:tcW w:w="2340" w:type="dxa"/>
            <w:vAlign w:val="center"/>
          </w:tcPr>
          <w:p w:rsidR="003450A5" w:rsidRPr="00C7199E" w:rsidRDefault="0087390D" w:rsidP="00D16DC9">
            <w:pPr>
              <w:spacing w:after="0" w:line="240" w:lineRule="auto"/>
              <w:jc w:val="center"/>
            </w:pPr>
            <w:r>
              <w:t>$</w:t>
            </w:r>
          </w:p>
        </w:tc>
      </w:tr>
      <w:tr w:rsidR="003450A5" w:rsidRPr="00C7199E" w:rsidTr="00216118">
        <w:tc>
          <w:tcPr>
            <w:tcW w:w="6750" w:type="dxa"/>
            <w:tcBorders>
              <w:bottom w:val="single" w:sz="4" w:space="0" w:color="auto"/>
            </w:tcBorders>
          </w:tcPr>
          <w:p w:rsidR="003450A5" w:rsidRPr="0094421A" w:rsidRDefault="0087390D" w:rsidP="00D16DC9">
            <w:pPr>
              <w:spacing w:after="0" w:line="240" w:lineRule="auto"/>
              <w:ind w:left="720"/>
            </w:pPr>
            <w:r>
              <w:t>New investment in equipment</w:t>
            </w:r>
            <w:r w:rsidR="00E8132B">
              <w:t xml:space="preserve"> (excluding state $)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50A5" w:rsidRPr="00C7199E" w:rsidRDefault="0087390D" w:rsidP="00D16DC9">
            <w:pPr>
              <w:spacing w:after="0" w:line="240" w:lineRule="auto"/>
              <w:jc w:val="center"/>
            </w:pPr>
            <w:r>
              <w:t>$</w:t>
            </w:r>
          </w:p>
        </w:tc>
      </w:tr>
      <w:tr w:rsidR="0087390D" w:rsidRPr="00C7199E" w:rsidTr="00216118">
        <w:tc>
          <w:tcPr>
            <w:tcW w:w="6750" w:type="dxa"/>
            <w:shd w:val="clear" w:color="auto" w:fill="FFFFFF" w:themeFill="background1"/>
          </w:tcPr>
          <w:p w:rsidR="0087390D" w:rsidRPr="00E8132B" w:rsidRDefault="0087390D" w:rsidP="0087390D">
            <w:pPr>
              <w:pStyle w:val="ListParagraph"/>
              <w:spacing w:after="0" w:line="240" w:lineRule="auto"/>
              <w:ind w:left="360"/>
            </w:pPr>
            <w:r w:rsidRPr="00E8132B">
              <w:t xml:space="preserve">       New investment in training</w:t>
            </w:r>
            <w:r w:rsidR="00E8132B">
              <w:t xml:space="preserve"> (excluding state $)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7390D" w:rsidRPr="00E8132B" w:rsidRDefault="0087390D" w:rsidP="00D16DC9">
            <w:pPr>
              <w:spacing w:after="0" w:line="240" w:lineRule="auto"/>
              <w:jc w:val="center"/>
            </w:pPr>
            <w:r w:rsidRPr="00E8132B">
              <w:t>$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Pr="00E8132B" w:rsidRDefault="00E8132B" w:rsidP="0087390D">
            <w:pPr>
              <w:pStyle w:val="ListParagraph"/>
              <w:spacing w:after="0" w:line="240" w:lineRule="auto"/>
              <w:ind w:left="360"/>
            </w:pPr>
            <w:r>
              <w:t xml:space="preserve">       New investment in infrastructure (excluding state $)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Pr="00E8132B" w:rsidRDefault="00E8132B" w:rsidP="00D16DC9">
            <w:pPr>
              <w:spacing w:after="0" w:line="240" w:lineRule="auto"/>
              <w:jc w:val="center"/>
            </w:pPr>
            <w:r>
              <w:t>$</w:t>
            </w:r>
          </w:p>
        </w:tc>
      </w:tr>
      <w:tr w:rsidR="0087390D" w:rsidRPr="00C7199E" w:rsidTr="00216118">
        <w:tc>
          <w:tcPr>
            <w:tcW w:w="6750" w:type="dxa"/>
            <w:shd w:val="clear" w:color="auto" w:fill="FFFFFF" w:themeFill="background1"/>
          </w:tcPr>
          <w:p w:rsidR="0087390D" w:rsidRPr="00E8132B" w:rsidRDefault="0087390D" w:rsidP="00E8469C">
            <w:pPr>
              <w:pStyle w:val="ListParagraph"/>
              <w:spacing w:after="0" w:line="240" w:lineRule="auto"/>
              <w:ind w:left="360"/>
            </w:pPr>
            <w:r w:rsidRPr="00E8132B">
              <w:t xml:space="preserve">       New investment (other), specify</w:t>
            </w:r>
            <w:r w:rsidR="00E8132B">
              <w:t xml:space="preserve"> (excluding state $)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7390D" w:rsidRPr="00E8132B" w:rsidRDefault="0087390D" w:rsidP="00D16DC9">
            <w:pPr>
              <w:spacing w:after="0" w:line="240" w:lineRule="auto"/>
              <w:jc w:val="center"/>
            </w:pPr>
            <w:r w:rsidRPr="00E8132B">
              <w:t>$</w:t>
            </w:r>
          </w:p>
        </w:tc>
      </w:tr>
      <w:tr w:rsidR="0087390D" w:rsidRPr="00C7199E" w:rsidTr="00216118">
        <w:tc>
          <w:tcPr>
            <w:tcW w:w="6750" w:type="dxa"/>
            <w:shd w:val="clear" w:color="auto" w:fill="FFFFFF" w:themeFill="background1"/>
          </w:tcPr>
          <w:p w:rsidR="0087390D" w:rsidRPr="00E8132B" w:rsidRDefault="0087390D" w:rsidP="009754CA">
            <w:pPr>
              <w:pStyle w:val="ListParagraph"/>
              <w:spacing w:after="0" w:line="240" w:lineRule="auto"/>
            </w:pPr>
            <w:r w:rsidRPr="00E8132B">
              <w:t>Number of new visitors attracted to region</w:t>
            </w:r>
            <w:r w:rsidR="009754CA">
              <w:t xml:space="preserve"> and/or increased   visitor spending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7390D" w:rsidRPr="00E8132B" w:rsidRDefault="00E8132B" w:rsidP="00D16DC9">
            <w:pPr>
              <w:spacing w:after="0" w:line="240" w:lineRule="auto"/>
              <w:jc w:val="center"/>
            </w:pPr>
            <w:r>
              <w:t># visitors</w:t>
            </w:r>
          </w:p>
        </w:tc>
      </w:tr>
      <w:tr w:rsidR="00DF07B2" w:rsidRPr="00C7199E" w:rsidTr="00216118">
        <w:tc>
          <w:tcPr>
            <w:tcW w:w="6750" w:type="dxa"/>
            <w:shd w:val="clear" w:color="auto" w:fill="FFFFFF" w:themeFill="background1"/>
          </w:tcPr>
          <w:p w:rsidR="00DF07B2" w:rsidRDefault="00DF07B2" w:rsidP="00680084">
            <w:pPr>
              <w:pStyle w:val="ListParagraph"/>
              <w:spacing w:after="0" w:line="240" w:lineRule="auto"/>
              <w:ind w:left="360"/>
            </w:pPr>
            <w:r>
              <w:t xml:space="preserve">       Ratio of public/private dollars invested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F07B2" w:rsidRDefault="00DF07B2" w:rsidP="00DF07B2">
            <w:pPr>
              <w:spacing w:after="0" w:line="240" w:lineRule="auto"/>
            </w:pPr>
            <w:r>
              <w:t xml:space="preserve">           ratio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Default="00E8132B" w:rsidP="00680084">
            <w:pPr>
              <w:pStyle w:val="ListParagraph"/>
              <w:spacing w:after="0" w:line="240" w:lineRule="auto"/>
              <w:ind w:left="360"/>
            </w:pPr>
            <w:r>
              <w:t xml:space="preserve">      % </w:t>
            </w:r>
            <w:r w:rsidR="00680084">
              <w:t xml:space="preserve">&amp; value of </w:t>
            </w:r>
            <w:r>
              <w:t xml:space="preserve">product/service </w:t>
            </w:r>
            <w:r w:rsidR="00680084">
              <w:t>exported outside the region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Default="00680084" w:rsidP="00D16DC9">
            <w:pPr>
              <w:spacing w:after="0" w:line="240" w:lineRule="auto"/>
              <w:jc w:val="center"/>
            </w:pPr>
            <w:r>
              <w:t>% and $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Default="00E8132B" w:rsidP="0087390D">
            <w:pPr>
              <w:pStyle w:val="ListParagraph"/>
              <w:spacing w:after="0" w:line="240" w:lineRule="auto"/>
              <w:ind w:left="360"/>
            </w:pPr>
            <w:r>
              <w:t xml:space="preserve">      % </w:t>
            </w:r>
            <w:r w:rsidR="00680084">
              <w:t xml:space="preserve">&amp; value of </w:t>
            </w:r>
            <w:r>
              <w:t>purchases within region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Default="00E8132B" w:rsidP="00D16DC9">
            <w:pPr>
              <w:spacing w:after="0" w:line="240" w:lineRule="auto"/>
              <w:jc w:val="center"/>
            </w:pPr>
            <w:r>
              <w:t>%</w:t>
            </w:r>
            <w:r w:rsidR="00680084">
              <w:t xml:space="preserve"> and $</w:t>
            </w:r>
          </w:p>
        </w:tc>
      </w:tr>
      <w:tr w:rsidR="00DF07B2" w:rsidRPr="00C7199E" w:rsidTr="00216118">
        <w:tc>
          <w:tcPr>
            <w:tcW w:w="6750" w:type="dxa"/>
            <w:shd w:val="clear" w:color="auto" w:fill="FFFFFF" w:themeFill="background1"/>
          </w:tcPr>
          <w:p w:rsidR="00DF07B2" w:rsidRDefault="00DF07B2" w:rsidP="0087390D">
            <w:pPr>
              <w:pStyle w:val="ListParagraph"/>
              <w:spacing w:after="0" w:line="240" w:lineRule="auto"/>
              <w:ind w:left="360"/>
            </w:pPr>
            <w:r>
              <w:t xml:space="preserve">      Implementable (readiness)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F07B2" w:rsidRDefault="00DF07B2" w:rsidP="00D16DC9">
            <w:pPr>
              <w:spacing w:after="0" w:line="240" w:lineRule="auto"/>
              <w:jc w:val="center"/>
            </w:pPr>
            <w:r>
              <w:t>Explain financial commitments, status of required approvals</w:t>
            </w:r>
          </w:p>
        </w:tc>
      </w:tr>
      <w:tr w:rsidR="00E8132B" w:rsidRPr="00C7199E" w:rsidTr="00216118">
        <w:tc>
          <w:tcPr>
            <w:tcW w:w="6750" w:type="dxa"/>
            <w:tcBorders>
              <w:bottom w:val="single" w:sz="4" w:space="0" w:color="auto"/>
            </w:tcBorders>
            <w:shd w:val="clear" w:color="auto" w:fill="D9D9D9"/>
          </w:tcPr>
          <w:p w:rsidR="00E8132B" w:rsidRPr="0094421A" w:rsidRDefault="00E8132B" w:rsidP="00D16DC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Inclusive</w:t>
            </w:r>
            <w:r w:rsidR="00D16DC9">
              <w:t xml:space="preserve"> (reflects &amp; promotes diversity and/or reduces disparities within the region)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32B" w:rsidRPr="0094421A" w:rsidRDefault="00E8132B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132B" w:rsidRPr="0094421A" w:rsidRDefault="004A77AC" w:rsidP="004A77AC">
            <w:pPr>
              <w:spacing w:after="0" w:line="240" w:lineRule="auto"/>
              <w:ind w:left="720"/>
            </w:pPr>
            <w:r>
              <w:t>Increase in number of underrepresented* populations and veterans in workforce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32B" w:rsidRPr="00C7199E" w:rsidRDefault="004A77AC" w:rsidP="00D16DC9">
            <w:pPr>
              <w:spacing w:after="0" w:line="240" w:lineRule="auto"/>
              <w:jc w:val="center"/>
            </w:pPr>
            <w:r>
              <w:t>#</w:t>
            </w:r>
          </w:p>
        </w:tc>
      </w:tr>
      <w:tr w:rsidR="00E8132B" w:rsidRPr="00C7199E" w:rsidTr="00216118">
        <w:tc>
          <w:tcPr>
            <w:tcW w:w="6750" w:type="dxa"/>
            <w:tcBorders>
              <w:bottom w:val="single" w:sz="4" w:space="0" w:color="auto"/>
            </w:tcBorders>
            <w:shd w:val="clear" w:color="auto" w:fill="D9D9D9"/>
          </w:tcPr>
          <w:p w:rsidR="00E8132B" w:rsidRPr="0094421A" w:rsidRDefault="00E8132B" w:rsidP="00D16DC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Promotes Smart Growth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32B" w:rsidRDefault="00E8132B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Pr="0094421A" w:rsidRDefault="00D16DC9" w:rsidP="00D16DC9">
            <w:pPr>
              <w:spacing w:after="0" w:line="240" w:lineRule="auto"/>
              <w:ind w:left="720"/>
            </w:pPr>
            <w:r>
              <w:t>Located in developed areas or areas designated for concentrated infill development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Pr="0094421A" w:rsidRDefault="008C55DE" w:rsidP="00D16DC9">
            <w:pPr>
              <w:spacing w:after="0" w:line="240" w:lineRule="auto"/>
              <w:ind w:left="720"/>
            </w:pPr>
            <w:r>
              <w:t>Protects, preserves &amp; enhances region’s resources including agriculture land, forests, water, air quality, recreation and open space, and significant historic resources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469C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  <w:p w:rsidR="00E8132B" w:rsidRDefault="00E8132B" w:rsidP="00D16DC9">
            <w:pPr>
              <w:spacing w:after="0" w:line="240" w:lineRule="auto"/>
              <w:jc w:val="center"/>
            </w:pPr>
          </w:p>
        </w:tc>
      </w:tr>
      <w:tr w:rsidR="008C55DE" w:rsidRPr="00C7199E" w:rsidTr="00216118">
        <w:tc>
          <w:tcPr>
            <w:tcW w:w="6750" w:type="dxa"/>
            <w:shd w:val="clear" w:color="auto" w:fill="FFFFFF" w:themeFill="background1"/>
          </w:tcPr>
          <w:p w:rsidR="008C55DE" w:rsidRDefault="00680084" w:rsidP="009754CA">
            <w:pPr>
              <w:spacing w:after="0" w:line="240" w:lineRule="auto"/>
              <w:ind w:left="720"/>
            </w:pPr>
            <w:r>
              <w:t>R</w:t>
            </w:r>
            <w:r w:rsidR="008C55DE">
              <w:t>euse</w:t>
            </w:r>
            <w:r>
              <w:t>s</w:t>
            </w:r>
            <w:r w:rsidR="009754CA">
              <w:t xml:space="preserve"> developed </w:t>
            </w:r>
            <w:r w:rsidR="008C55DE">
              <w:t>land &amp; buildings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C55DE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Pr="0094421A" w:rsidRDefault="008C55DE" w:rsidP="009754CA">
            <w:pPr>
              <w:spacing w:after="0" w:line="240" w:lineRule="auto"/>
              <w:ind w:left="720"/>
            </w:pPr>
            <w:r>
              <w:t>Promotes sustainability by</w:t>
            </w:r>
            <w:r w:rsidR="009754CA">
              <w:t xml:space="preserve"> using renewable energy or reducing energy consumption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D9D9D9"/>
          </w:tcPr>
          <w:p w:rsidR="00E8132B" w:rsidRPr="0094421A" w:rsidRDefault="00E8132B" w:rsidP="00004A2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Oriented to Young Adults</w:t>
            </w:r>
            <w:r w:rsidR="008C55DE">
              <w:t xml:space="preserve">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8132B" w:rsidRPr="0094421A" w:rsidRDefault="00E8132B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</w:tcPr>
          <w:p w:rsidR="00E8132B" w:rsidRPr="0094421A" w:rsidRDefault="008C55DE" w:rsidP="00D16DC9">
            <w:pPr>
              <w:spacing w:after="0" w:line="240" w:lineRule="auto"/>
              <w:ind w:left="720"/>
            </w:pPr>
            <w:r>
              <w:t>Increase in number of 18-35 year olds moving into or staying in the region</w:t>
            </w:r>
            <w:r w:rsidR="009754CA">
              <w:t xml:space="preserve"> over 5 years</w:t>
            </w:r>
          </w:p>
        </w:tc>
        <w:tc>
          <w:tcPr>
            <w:tcW w:w="2340" w:type="dxa"/>
            <w:vAlign w:val="center"/>
          </w:tcPr>
          <w:p w:rsidR="00E8132B" w:rsidRPr="00C7199E" w:rsidRDefault="008C55DE" w:rsidP="00D16DC9">
            <w:pPr>
              <w:spacing w:after="0" w:line="240" w:lineRule="auto"/>
              <w:jc w:val="center"/>
            </w:pPr>
            <w:r>
              <w:t>#</w:t>
            </w:r>
          </w:p>
        </w:tc>
      </w:tr>
      <w:tr w:rsidR="009754CA" w:rsidRPr="00C7199E" w:rsidTr="00216118">
        <w:tc>
          <w:tcPr>
            <w:tcW w:w="6750" w:type="dxa"/>
            <w:tcBorders>
              <w:bottom w:val="single" w:sz="4" w:space="0" w:color="auto"/>
            </w:tcBorders>
            <w:shd w:val="clear" w:color="auto" w:fill="D9D9D9"/>
          </w:tcPr>
          <w:p w:rsidR="009754CA" w:rsidRPr="0094421A" w:rsidRDefault="009754CA" w:rsidP="009754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Build upon Strengths</w:t>
            </w:r>
            <w: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54CA" w:rsidRDefault="009754CA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  <w:shd w:val="clear" w:color="auto" w:fill="FFFFFF" w:themeFill="background1"/>
          </w:tcPr>
          <w:p w:rsidR="00E8132B" w:rsidRPr="009754CA" w:rsidRDefault="008C55DE" w:rsidP="009754CA">
            <w:pPr>
              <w:pStyle w:val="ListParagraph"/>
              <w:spacing w:after="0" w:line="240" w:lineRule="auto"/>
              <w:ind w:left="360"/>
            </w:pPr>
            <w:r w:rsidRPr="009754CA">
              <w:t xml:space="preserve">Enhances region’s natural resources  (fresh water, renewable energy, agriculture and architecture)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132B" w:rsidRPr="0094421A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9754CA" w:rsidRPr="00C7199E" w:rsidTr="00216118">
        <w:tc>
          <w:tcPr>
            <w:tcW w:w="6750" w:type="dxa"/>
            <w:shd w:val="clear" w:color="auto" w:fill="FFFFFF" w:themeFill="background1"/>
          </w:tcPr>
          <w:p w:rsidR="009754CA" w:rsidRPr="009754CA" w:rsidRDefault="009754CA" w:rsidP="009754CA">
            <w:pPr>
              <w:pStyle w:val="ListParagraph"/>
              <w:spacing w:after="0" w:line="240" w:lineRule="auto"/>
              <w:ind w:left="360"/>
            </w:pPr>
            <w:r>
              <w:t>Enhances target industries (logistics, tourism, agriculture, advanced manufacturing, professional services, higher education, life &amp; health Sciences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754CA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D9D9D9"/>
          </w:tcPr>
          <w:p w:rsidR="00E8132B" w:rsidRPr="0094421A" w:rsidRDefault="00E8132B" w:rsidP="00004A2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Regional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E8132B" w:rsidRPr="0094421A" w:rsidRDefault="00E8132B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</w:tcPr>
          <w:p w:rsidR="00E8132B" w:rsidRPr="0094421A" w:rsidRDefault="008C55DE" w:rsidP="00D16DC9">
            <w:pPr>
              <w:spacing w:after="0" w:line="240" w:lineRule="auto"/>
              <w:ind w:left="720"/>
            </w:pPr>
            <w:r>
              <w:t>Impact in 3 or more counties in region (i.e., jobs created/retained in 3 or more counties, investment in 3 or more counties, increase visitors in 3 or more counties, workforce residing in 3 or more counties)</w:t>
            </w:r>
          </w:p>
        </w:tc>
        <w:tc>
          <w:tcPr>
            <w:tcW w:w="2340" w:type="dxa"/>
            <w:vAlign w:val="center"/>
          </w:tcPr>
          <w:p w:rsidR="00E8469C" w:rsidRDefault="00E8469C" w:rsidP="00D16DC9">
            <w:pPr>
              <w:spacing w:after="0" w:line="240" w:lineRule="auto"/>
              <w:jc w:val="center"/>
            </w:pPr>
            <w:r>
              <w:t>Yes/No</w:t>
            </w:r>
          </w:p>
          <w:p w:rsidR="00E8132B" w:rsidRPr="00C7199E" w:rsidRDefault="008C55DE" w:rsidP="00D16DC9">
            <w:pPr>
              <w:spacing w:after="0" w:line="240" w:lineRule="auto"/>
              <w:jc w:val="center"/>
            </w:pPr>
            <w:r>
              <w:t>Specify how &amp; where</w:t>
            </w:r>
          </w:p>
        </w:tc>
      </w:tr>
      <w:tr w:rsidR="00E8132B" w:rsidRPr="00C7199E" w:rsidTr="00216118">
        <w:trPr>
          <w:trHeight w:val="368"/>
        </w:trPr>
        <w:tc>
          <w:tcPr>
            <w:tcW w:w="6750" w:type="dxa"/>
            <w:shd w:val="clear" w:color="auto" w:fill="D9D9D9" w:themeFill="background1" w:themeFillShade="D9"/>
          </w:tcPr>
          <w:p w:rsidR="00E8132B" w:rsidRPr="0094421A" w:rsidRDefault="00E8132B" w:rsidP="00004A2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94421A">
              <w:t>Improves Region’s Image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132B" w:rsidRPr="0094421A" w:rsidRDefault="00E8132B" w:rsidP="00D16DC9">
            <w:pPr>
              <w:spacing w:after="0" w:line="240" w:lineRule="auto"/>
              <w:jc w:val="center"/>
            </w:pPr>
          </w:p>
        </w:tc>
      </w:tr>
      <w:tr w:rsidR="00E8132B" w:rsidRPr="00C7199E" w:rsidTr="00216118">
        <w:tc>
          <w:tcPr>
            <w:tcW w:w="6750" w:type="dxa"/>
          </w:tcPr>
          <w:p w:rsidR="00E8132B" w:rsidRPr="0094421A" w:rsidRDefault="00DB4ED1" w:rsidP="00D16DC9">
            <w:pPr>
              <w:spacing w:after="0" w:line="240" w:lineRule="auto"/>
              <w:ind w:left="720"/>
            </w:pPr>
            <w:r>
              <w:t># of out of region positive news stories generated</w:t>
            </w:r>
            <w:r w:rsidR="009754CA">
              <w:t xml:space="preserve"> in next 5 years</w:t>
            </w:r>
          </w:p>
        </w:tc>
        <w:tc>
          <w:tcPr>
            <w:tcW w:w="2340" w:type="dxa"/>
            <w:vAlign w:val="center"/>
          </w:tcPr>
          <w:p w:rsidR="00E8132B" w:rsidRPr="00C7199E" w:rsidRDefault="009754CA" w:rsidP="00D16DC9">
            <w:pPr>
              <w:spacing w:after="0" w:line="240" w:lineRule="auto"/>
              <w:jc w:val="center"/>
            </w:pPr>
            <w:r>
              <w:t>#</w:t>
            </w:r>
          </w:p>
        </w:tc>
      </w:tr>
      <w:tr w:rsidR="00E8132B" w:rsidRPr="00C7199E" w:rsidTr="00216118">
        <w:tc>
          <w:tcPr>
            <w:tcW w:w="6750" w:type="dxa"/>
            <w:shd w:val="clear" w:color="auto" w:fill="D9D9D9"/>
          </w:tcPr>
          <w:p w:rsidR="00E8132B" w:rsidRPr="00C7199E" w:rsidRDefault="00E8132B" w:rsidP="00D16DC9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E8132B" w:rsidRPr="00C7199E" w:rsidRDefault="00E8132B" w:rsidP="00D16DC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A77AC" w:rsidRDefault="004A77AC" w:rsidP="004A77AC">
      <w:pPr>
        <w:spacing w:before="100" w:beforeAutospacing="1" w:after="100" w:afterAutospacing="1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hAnsiTheme="minorHAnsi" w:cs="MinionPro-Regular"/>
          <w:b/>
        </w:rPr>
        <w:t xml:space="preserve">* </w:t>
      </w:r>
      <w:r w:rsidRPr="004A77AC">
        <w:rPr>
          <w:rFonts w:asciiTheme="minorHAnsi" w:eastAsia="Times New Roman" w:hAnsiTheme="minorHAnsi"/>
        </w:rPr>
        <w:t>The Western New York REDC will identify individuals that are typically underrepresented and underserved in the Western New York region</w:t>
      </w:r>
      <w:r>
        <w:rPr>
          <w:rFonts w:asciiTheme="minorHAnsi" w:eastAsia="Times New Roman" w:hAnsiTheme="minorHAnsi"/>
        </w:rPr>
        <w:t xml:space="preserve">. </w:t>
      </w:r>
      <w:r w:rsidRPr="004A77AC">
        <w:rPr>
          <w:rFonts w:asciiTheme="minorHAnsi" w:eastAsia="Times New Roman" w:hAnsiTheme="minorHAnsi"/>
        </w:rPr>
        <w:t>Underrepresented groups may include, but are not limited to:</w:t>
      </w:r>
    </w:p>
    <w:p w:rsidR="004A77AC" w:rsidRPr="004A77AC" w:rsidRDefault="004A77AC" w:rsidP="00E8469C">
      <w:pPr>
        <w:pStyle w:val="ListParagraph"/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Racial or ethnic minority groups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People with disabilities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Low-income and working poor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Immigrants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Veterans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Members of the gay/lesbian/bisexual/transgender community </w:t>
      </w:r>
    </w:p>
    <w:p w:rsidR="004A77AC" w:rsidRPr="004A77AC" w:rsidRDefault="004A77AC" w:rsidP="00E8469C">
      <w:pPr>
        <w:numPr>
          <w:ilvl w:val="0"/>
          <w:numId w:val="21"/>
        </w:numPr>
        <w:spacing w:after="0" w:line="300" w:lineRule="atLeast"/>
        <w:rPr>
          <w:rFonts w:asciiTheme="minorHAnsi" w:eastAsia="Times New Roman" w:hAnsiTheme="minorHAnsi"/>
        </w:rPr>
      </w:pPr>
      <w:r w:rsidRPr="004A77AC">
        <w:rPr>
          <w:rFonts w:asciiTheme="minorHAnsi" w:eastAsia="Times New Roman" w:hAnsiTheme="minorHAnsi"/>
        </w:rPr>
        <w:t xml:space="preserve">Females </w:t>
      </w:r>
    </w:p>
    <w:p w:rsidR="004A77AC" w:rsidRDefault="004A77AC" w:rsidP="00004A2F">
      <w:pPr>
        <w:rPr>
          <w:rFonts w:cs="MinionPro-Regular"/>
          <w:b/>
        </w:rPr>
      </w:pPr>
    </w:p>
    <w:sectPr w:rsidR="004A77AC" w:rsidSect="004D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91"/>
    <w:multiLevelType w:val="hybridMultilevel"/>
    <w:tmpl w:val="BC0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803"/>
    <w:multiLevelType w:val="hybridMultilevel"/>
    <w:tmpl w:val="E1D2B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7A1"/>
    <w:multiLevelType w:val="hybridMultilevel"/>
    <w:tmpl w:val="7C121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D65D9"/>
    <w:multiLevelType w:val="multilevel"/>
    <w:tmpl w:val="27F094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4A8E"/>
    <w:multiLevelType w:val="hybridMultilevel"/>
    <w:tmpl w:val="E15E5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E38D2"/>
    <w:multiLevelType w:val="hybridMultilevel"/>
    <w:tmpl w:val="1DE6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58D"/>
    <w:multiLevelType w:val="hybridMultilevel"/>
    <w:tmpl w:val="CCFA40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D1022"/>
    <w:multiLevelType w:val="hybridMultilevel"/>
    <w:tmpl w:val="6E82F59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CD074D5"/>
    <w:multiLevelType w:val="hybridMultilevel"/>
    <w:tmpl w:val="0AD2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31C6"/>
    <w:multiLevelType w:val="hybridMultilevel"/>
    <w:tmpl w:val="CB32C482"/>
    <w:lvl w:ilvl="0" w:tplc="6F52FBBA">
      <w:start w:val="1"/>
      <w:numFmt w:val="decimal"/>
      <w:lvlText w:val="%1."/>
      <w:lvlJc w:val="left"/>
      <w:pPr>
        <w:ind w:left="720" w:hanging="360"/>
      </w:pPr>
      <w:rPr>
        <w:rFonts w:cs="MinionPro-Regula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1D1D"/>
    <w:multiLevelType w:val="hybridMultilevel"/>
    <w:tmpl w:val="5BF408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A3974"/>
    <w:multiLevelType w:val="hybridMultilevel"/>
    <w:tmpl w:val="E7D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250F3"/>
    <w:multiLevelType w:val="hybridMultilevel"/>
    <w:tmpl w:val="013A6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3B0F4B"/>
    <w:multiLevelType w:val="hybridMultilevel"/>
    <w:tmpl w:val="C290B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F86995"/>
    <w:multiLevelType w:val="hybridMultilevel"/>
    <w:tmpl w:val="750CD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143D5"/>
    <w:multiLevelType w:val="hybridMultilevel"/>
    <w:tmpl w:val="9678DF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CF0152"/>
    <w:multiLevelType w:val="hybridMultilevel"/>
    <w:tmpl w:val="EDEC40D0"/>
    <w:lvl w:ilvl="0" w:tplc="9370BE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E01354"/>
    <w:multiLevelType w:val="hybridMultilevel"/>
    <w:tmpl w:val="07CA2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E1AFA"/>
    <w:multiLevelType w:val="hybridMultilevel"/>
    <w:tmpl w:val="567A03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562586"/>
    <w:multiLevelType w:val="hybridMultilevel"/>
    <w:tmpl w:val="068443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182B4A"/>
    <w:multiLevelType w:val="hybridMultilevel"/>
    <w:tmpl w:val="0542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  <w:num w:numId="18">
    <w:abstractNumId w:val="3"/>
  </w:num>
  <w:num w:numId="19">
    <w:abstractNumId w:val="20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59B"/>
    <w:rsid w:val="000039AE"/>
    <w:rsid w:val="00004A2F"/>
    <w:rsid w:val="000404DA"/>
    <w:rsid w:val="000811BA"/>
    <w:rsid w:val="000C3BDB"/>
    <w:rsid w:val="000C7EBF"/>
    <w:rsid w:val="000F2D8D"/>
    <w:rsid w:val="001043E8"/>
    <w:rsid w:val="00127AEE"/>
    <w:rsid w:val="00136B59"/>
    <w:rsid w:val="00140544"/>
    <w:rsid w:val="00192019"/>
    <w:rsid w:val="001E233E"/>
    <w:rsid w:val="00216118"/>
    <w:rsid w:val="00276CF6"/>
    <w:rsid w:val="002A1598"/>
    <w:rsid w:val="002A3287"/>
    <w:rsid w:val="002B3D93"/>
    <w:rsid w:val="003450A5"/>
    <w:rsid w:val="0034760A"/>
    <w:rsid w:val="00382ACD"/>
    <w:rsid w:val="00397B8F"/>
    <w:rsid w:val="003D4547"/>
    <w:rsid w:val="004100CD"/>
    <w:rsid w:val="004227A0"/>
    <w:rsid w:val="00471BE1"/>
    <w:rsid w:val="004A77AC"/>
    <w:rsid w:val="004D0A24"/>
    <w:rsid w:val="00530E0C"/>
    <w:rsid w:val="00532138"/>
    <w:rsid w:val="005D09F5"/>
    <w:rsid w:val="005D6795"/>
    <w:rsid w:val="006502BA"/>
    <w:rsid w:val="00680084"/>
    <w:rsid w:val="00765533"/>
    <w:rsid w:val="007668B1"/>
    <w:rsid w:val="007708EB"/>
    <w:rsid w:val="007745A1"/>
    <w:rsid w:val="007A26FB"/>
    <w:rsid w:val="007E66F1"/>
    <w:rsid w:val="008446FB"/>
    <w:rsid w:val="0087390D"/>
    <w:rsid w:val="008C55DE"/>
    <w:rsid w:val="0094421A"/>
    <w:rsid w:val="009754CA"/>
    <w:rsid w:val="009846CC"/>
    <w:rsid w:val="009F1201"/>
    <w:rsid w:val="009F2F42"/>
    <w:rsid w:val="009F7123"/>
    <w:rsid w:val="00A41BA6"/>
    <w:rsid w:val="00A62F6B"/>
    <w:rsid w:val="00A76B0D"/>
    <w:rsid w:val="00AA02CF"/>
    <w:rsid w:val="00AE2C27"/>
    <w:rsid w:val="00B126FE"/>
    <w:rsid w:val="00B63490"/>
    <w:rsid w:val="00C248FD"/>
    <w:rsid w:val="00C7199E"/>
    <w:rsid w:val="00CE210C"/>
    <w:rsid w:val="00CE4A17"/>
    <w:rsid w:val="00D034F4"/>
    <w:rsid w:val="00D16DC9"/>
    <w:rsid w:val="00D201CD"/>
    <w:rsid w:val="00D34F62"/>
    <w:rsid w:val="00D444E6"/>
    <w:rsid w:val="00D87E8D"/>
    <w:rsid w:val="00DB4ED1"/>
    <w:rsid w:val="00DF07B2"/>
    <w:rsid w:val="00DF263D"/>
    <w:rsid w:val="00DF459B"/>
    <w:rsid w:val="00E05C2F"/>
    <w:rsid w:val="00E60D82"/>
    <w:rsid w:val="00E66BBA"/>
    <w:rsid w:val="00E8132B"/>
    <w:rsid w:val="00E8469C"/>
    <w:rsid w:val="00EF1CD3"/>
    <w:rsid w:val="00F92B5D"/>
    <w:rsid w:val="00FC7E26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9B"/>
    <w:pPr>
      <w:ind w:left="720"/>
      <w:contextualSpacing/>
    </w:pPr>
  </w:style>
  <w:style w:type="table" w:styleId="TableGrid">
    <w:name w:val="Table Grid"/>
    <w:basedOn w:val="TableNormal"/>
    <w:uiPriority w:val="59"/>
    <w:rsid w:val="0034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CGrant</dc:creator>
  <cp:keywords/>
  <dc:description/>
  <cp:lastModifiedBy>corsi</cp:lastModifiedBy>
  <cp:revision>2</cp:revision>
  <cp:lastPrinted>2011-10-01T14:08:00Z</cp:lastPrinted>
  <dcterms:created xsi:type="dcterms:W3CDTF">2011-10-01T16:12:00Z</dcterms:created>
  <dcterms:modified xsi:type="dcterms:W3CDTF">2011-10-01T16:12:00Z</dcterms:modified>
</cp:coreProperties>
</file>